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6"/>
          <w:rFonts w:hint="default" w:ascii="微软雅黑" w:hAnsi="微软雅黑" w:eastAsia="微软雅黑" w:cs="微软雅黑"/>
          <w:b w:val="0"/>
          <w:bCs/>
          <w:i w:val="0"/>
          <w:iCs w:val="0"/>
          <w:caps w:val="0"/>
          <w:color w:val="444444"/>
          <w:spacing w:val="0"/>
          <w:sz w:val="24"/>
          <w:szCs w:val="24"/>
          <w:shd w:val="clear" w:fill="FFFFFF"/>
          <w:lang w:val="en-US" w:eastAsia="zh-CN"/>
        </w:rPr>
      </w:pPr>
      <w:r>
        <w:rPr>
          <w:rStyle w:val="6"/>
          <w:rFonts w:hint="eastAsia" w:ascii="微软雅黑" w:hAnsi="微软雅黑" w:eastAsia="微软雅黑" w:cs="微软雅黑"/>
          <w:b w:val="0"/>
          <w:bCs/>
          <w:i w:val="0"/>
          <w:iCs w:val="0"/>
          <w:caps w:val="0"/>
          <w:color w:val="444444"/>
          <w:spacing w:val="0"/>
          <w:sz w:val="24"/>
          <w:szCs w:val="24"/>
          <w:shd w:val="clear" w:fill="FFFFFF"/>
          <w:lang w:val="en-US" w:eastAsia="zh-CN"/>
        </w:rPr>
        <w:t>附件:</w:t>
      </w:r>
    </w:p>
    <w:p>
      <w:pPr>
        <w:jc w:val="center"/>
        <w:rPr>
          <w:rStyle w:val="6"/>
          <w:rFonts w:hint="eastAsia" w:ascii="微软雅黑" w:hAnsi="微软雅黑" w:eastAsia="微软雅黑" w:cs="微软雅黑"/>
          <w:i w:val="0"/>
          <w:iCs w:val="0"/>
          <w:caps w:val="0"/>
          <w:color w:val="444444"/>
          <w:spacing w:val="0"/>
          <w:sz w:val="24"/>
          <w:szCs w:val="24"/>
          <w:shd w:val="clear" w:fill="FFFFFF"/>
          <w:lang w:val="en-US" w:eastAsia="zh-CN"/>
        </w:rPr>
      </w:pPr>
      <w:r>
        <w:rPr>
          <w:rStyle w:val="6"/>
          <w:rFonts w:hint="eastAsia" w:ascii="微软雅黑" w:hAnsi="微软雅黑" w:eastAsia="微软雅黑" w:cs="微软雅黑"/>
          <w:i w:val="0"/>
          <w:iCs w:val="0"/>
          <w:caps w:val="0"/>
          <w:color w:val="444444"/>
          <w:spacing w:val="0"/>
          <w:sz w:val="24"/>
          <w:szCs w:val="24"/>
          <w:shd w:val="clear" w:fill="FFFFFF"/>
        </w:rPr>
        <w:t>202</w:t>
      </w:r>
      <w:r>
        <w:rPr>
          <w:rStyle w:val="6"/>
          <w:rFonts w:hint="eastAsia" w:ascii="微软雅黑" w:hAnsi="微软雅黑" w:eastAsia="微软雅黑" w:cs="微软雅黑"/>
          <w:i w:val="0"/>
          <w:iCs w:val="0"/>
          <w:caps w:val="0"/>
          <w:color w:val="444444"/>
          <w:spacing w:val="0"/>
          <w:sz w:val="24"/>
          <w:szCs w:val="24"/>
          <w:shd w:val="clear" w:fill="FFFFFF"/>
          <w:lang w:val="en-US" w:eastAsia="zh-CN"/>
        </w:rPr>
        <w:t>3</w:t>
      </w:r>
      <w:r>
        <w:rPr>
          <w:rStyle w:val="6"/>
          <w:rFonts w:hint="eastAsia" w:ascii="微软雅黑" w:hAnsi="微软雅黑" w:eastAsia="微软雅黑" w:cs="微软雅黑"/>
          <w:i w:val="0"/>
          <w:iCs w:val="0"/>
          <w:caps w:val="0"/>
          <w:color w:val="444444"/>
          <w:spacing w:val="0"/>
          <w:sz w:val="24"/>
          <w:szCs w:val="24"/>
          <w:shd w:val="clear" w:fill="FFFFFF"/>
        </w:rPr>
        <w:t>年度校级课题拟</w:t>
      </w:r>
      <w:bookmarkStart w:id="0" w:name="_GoBack"/>
      <w:bookmarkEnd w:id="0"/>
      <w:r>
        <w:rPr>
          <w:rStyle w:val="6"/>
          <w:rFonts w:hint="eastAsia" w:ascii="微软雅黑" w:hAnsi="微软雅黑" w:eastAsia="微软雅黑" w:cs="微软雅黑"/>
          <w:i w:val="0"/>
          <w:iCs w:val="0"/>
          <w:caps w:val="0"/>
          <w:color w:val="444444"/>
          <w:spacing w:val="0"/>
          <w:sz w:val="24"/>
          <w:szCs w:val="24"/>
          <w:shd w:val="clear" w:fill="FFFFFF"/>
        </w:rPr>
        <w:t>立项</w:t>
      </w:r>
      <w:r>
        <w:rPr>
          <w:rStyle w:val="6"/>
          <w:rFonts w:hint="eastAsia" w:ascii="微软雅黑" w:hAnsi="微软雅黑" w:eastAsia="微软雅黑" w:cs="微软雅黑"/>
          <w:i w:val="0"/>
          <w:iCs w:val="0"/>
          <w:caps w:val="0"/>
          <w:color w:val="444444"/>
          <w:spacing w:val="0"/>
          <w:sz w:val="24"/>
          <w:szCs w:val="24"/>
          <w:shd w:val="clear" w:fill="FFFFFF"/>
          <w:lang w:val="en-US" w:eastAsia="zh-CN"/>
        </w:rPr>
        <w:t>一览表</w:t>
      </w:r>
    </w:p>
    <w:tbl>
      <w:tblPr>
        <w:tblStyle w:val="4"/>
        <w:tblpPr w:leftFromText="180" w:rightFromText="180" w:vertAnchor="text" w:horzAnchor="page" w:tblpXSpec="center" w:tblpY="290"/>
        <w:tblOverlap w:val="never"/>
        <w:tblW w:w="5000" w:type="pct"/>
        <w:jc w:val="center"/>
        <w:tblLayout w:type="autofit"/>
        <w:tblCellMar>
          <w:top w:w="0" w:type="dxa"/>
          <w:left w:w="0" w:type="dxa"/>
          <w:bottom w:w="0" w:type="dxa"/>
          <w:right w:w="0" w:type="dxa"/>
        </w:tblCellMar>
      </w:tblPr>
      <w:tblGrid>
        <w:gridCol w:w="606"/>
        <w:gridCol w:w="5367"/>
        <w:gridCol w:w="1179"/>
        <w:gridCol w:w="1184"/>
      </w:tblGrid>
      <w:tr>
        <w:tblPrEx>
          <w:tblCellMar>
            <w:top w:w="0" w:type="dxa"/>
            <w:left w:w="0" w:type="dxa"/>
            <w:bottom w:w="0" w:type="dxa"/>
            <w:right w:w="0" w:type="dxa"/>
          </w:tblCellMar>
        </w:tblPrEx>
        <w:trPr>
          <w:trHeight w:val="483"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
                <w:bCs/>
                <w:color w:val="000000"/>
                <w:kern w:val="0"/>
                <w:szCs w:val="21"/>
              </w:rPr>
            </w:pPr>
            <w:r>
              <w:rPr>
                <w:rFonts w:hint="eastAsia" w:ascii="黑体" w:hAnsi="黑体" w:eastAsia="黑体" w:cs="黑体"/>
                <w:color w:val="000000"/>
                <w:kern w:val="0"/>
                <w:sz w:val="24"/>
                <w:szCs w:val="24"/>
                <w:lang w:val="en-US" w:eastAsia="zh-CN"/>
              </w:rPr>
              <w:t>普通项目</w:t>
            </w:r>
          </w:p>
        </w:tc>
      </w:tr>
      <w:tr>
        <w:tblPrEx>
          <w:tblCellMar>
            <w:top w:w="0" w:type="dxa"/>
            <w:left w:w="0" w:type="dxa"/>
            <w:bottom w:w="0" w:type="dxa"/>
            <w:right w:w="0" w:type="dxa"/>
          </w:tblCellMar>
        </w:tblPrEx>
        <w:trPr>
          <w:trHeight w:val="483"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
                <w:bCs/>
                <w:color w:val="000000"/>
                <w:kern w:val="0"/>
                <w:szCs w:val="21"/>
              </w:rPr>
            </w:pPr>
            <w:r>
              <w:rPr>
                <w:rFonts w:hint="eastAsia" w:ascii="宋体" w:hAnsi="宋体"/>
                <w:b/>
                <w:bCs/>
                <w:color w:val="000000"/>
                <w:kern w:val="0"/>
                <w:szCs w:val="21"/>
              </w:rPr>
              <w:t>序号</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
                <w:bCs/>
                <w:color w:val="000000"/>
                <w:kern w:val="0"/>
                <w:szCs w:val="21"/>
              </w:rPr>
            </w:pPr>
            <w:r>
              <w:rPr>
                <w:rFonts w:hint="eastAsia" w:ascii="宋体" w:hAnsi="宋体"/>
                <w:b/>
                <w:bCs/>
                <w:color w:val="000000"/>
                <w:kern w:val="0"/>
                <w:szCs w:val="21"/>
              </w:rPr>
              <w:t>项目名称</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b/>
                <w:bCs/>
                <w:color w:val="000000"/>
                <w:kern w:val="0"/>
                <w:szCs w:val="21"/>
                <w:lang w:val="en-US" w:eastAsia="zh-CN"/>
              </w:rPr>
            </w:pPr>
            <w:r>
              <w:rPr>
                <w:rFonts w:hint="eastAsia" w:ascii="宋体" w:hAnsi="宋体"/>
                <w:b/>
                <w:bCs/>
                <w:color w:val="000000"/>
                <w:kern w:val="0"/>
                <w:szCs w:val="21"/>
                <w:lang w:val="en-US" w:eastAsia="zh-CN"/>
              </w:rPr>
              <w:t>项目类别</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b/>
                <w:bCs/>
                <w:color w:val="000000"/>
                <w:kern w:val="0"/>
                <w:szCs w:val="21"/>
              </w:rPr>
            </w:pPr>
            <w:r>
              <w:rPr>
                <w:rFonts w:hint="eastAsia" w:ascii="宋体" w:hAnsi="宋体"/>
                <w:b/>
                <w:bCs/>
                <w:color w:val="000000"/>
                <w:kern w:val="0"/>
                <w:szCs w:val="21"/>
              </w:rPr>
              <w:t>项目负责人</w:t>
            </w:r>
          </w:p>
        </w:tc>
      </w:tr>
      <w:tr>
        <w:tblPrEx>
          <w:tblCellMar>
            <w:top w:w="0" w:type="dxa"/>
            <w:left w:w="0" w:type="dxa"/>
            <w:bottom w:w="0" w:type="dxa"/>
            <w:right w:w="0" w:type="dxa"/>
          </w:tblCellMar>
        </w:tblPrEx>
        <w:trPr>
          <w:trHeight w:val="730"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rPr>
                <w:rFonts w:hint="eastAsia" w:ascii="??_GB2312" w:hAnsi="??_GB2312" w:eastAsia="宋体" w:cs="??_GB2312"/>
                <w:kern w:val="0"/>
                <w:sz w:val="24"/>
                <w:szCs w:val="24"/>
                <w:highlight w:val="none"/>
                <w:lang w:val="en-US" w:eastAsia="zh-CN"/>
              </w:rPr>
            </w:pPr>
            <w:r>
              <w:rPr>
                <w:rFonts w:hint="eastAsia" w:ascii="??_GB2312" w:hAnsi="??_GB2312" w:eastAsia="宋体" w:cs="??_GB2312"/>
                <w:kern w:val="0"/>
                <w:sz w:val="24"/>
                <w:szCs w:val="24"/>
                <w:lang w:val="en-US" w:eastAsia="zh-CN"/>
              </w:rPr>
              <w:t>1</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入学准备视角下幼儿教师前书写活动支持策略的行动研究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廖晶</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eastAsia="宋体" w:cs="??_GB2312"/>
                <w:kern w:val="0"/>
                <w:sz w:val="24"/>
                <w:szCs w:val="24"/>
                <w:lang w:val="en-US" w:eastAsia="zh-CN"/>
              </w:rPr>
            </w:pPr>
            <w:r>
              <w:rPr>
                <w:rFonts w:hint="eastAsia" w:ascii="??_GB2312" w:hAnsi="??_GB2312" w:eastAsia="宋体" w:cs="??_GB2312"/>
                <w:kern w:val="0"/>
                <w:sz w:val="24"/>
                <w:szCs w:val="24"/>
                <w:lang w:val="en-US" w:eastAsia="zh-CN"/>
              </w:rPr>
              <w:t>2</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红色文化资源在素描校本课程中的应用与实践研究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曾永明</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eastAsia="宋体" w:cs="??_GB2312"/>
                <w:kern w:val="0"/>
                <w:sz w:val="24"/>
                <w:szCs w:val="24"/>
                <w:lang w:val="en-US" w:eastAsia="zh-CN"/>
              </w:rPr>
            </w:pPr>
            <w:r>
              <w:rPr>
                <w:rFonts w:hint="eastAsia" w:ascii="??_GB2312" w:hAnsi="??_GB2312" w:cs="??_GB2312"/>
                <w:kern w:val="0"/>
                <w:sz w:val="24"/>
                <w:szCs w:val="24"/>
                <w:lang w:val="en-US" w:eastAsia="zh-CN"/>
              </w:rPr>
              <w:t>3</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漳浦剪纸在高校美术教学中的传承与发展研究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马紫君</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eastAsia="宋体" w:cs="??_GB2312"/>
                <w:kern w:val="0"/>
                <w:sz w:val="24"/>
                <w:szCs w:val="24"/>
                <w:lang w:val="en-US" w:eastAsia="zh-CN"/>
              </w:rPr>
            </w:pPr>
            <w:r>
              <w:rPr>
                <w:rFonts w:hint="eastAsia" w:ascii="??_GB2312" w:hAnsi="??_GB2312" w:cs="??_GB2312"/>
                <w:kern w:val="0"/>
                <w:sz w:val="24"/>
                <w:szCs w:val="24"/>
                <w:lang w:val="en-US" w:eastAsia="zh-CN"/>
              </w:rPr>
              <w:t>4</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朋辈督导在新时代大学生志愿服务中成效与运行机制研究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何洪越</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eastAsia="宋体" w:cs="??_GB2312"/>
                <w:kern w:val="0"/>
                <w:sz w:val="24"/>
                <w:szCs w:val="24"/>
                <w:lang w:val="en-US" w:eastAsia="zh-CN"/>
              </w:rPr>
            </w:pPr>
            <w:r>
              <w:rPr>
                <w:rFonts w:hint="eastAsia" w:ascii="??_GB2312" w:hAnsi="??_GB2312" w:cs="??_GB2312"/>
                <w:kern w:val="0"/>
                <w:sz w:val="24"/>
                <w:szCs w:val="24"/>
                <w:lang w:val="en-US" w:eastAsia="zh-CN"/>
              </w:rPr>
              <w:t>5</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课程思政视域下高职院校数学课程教学的改革研究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石丽敏</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eastAsia="宋体" w:cs="??_GB2312"/>
                <w:kern w:val="0"/>
                <w:sz w:val="24"/>
                <w:szCs w:val="24"/>
                <w:lang w:val="en-US" w:eastAsia="zh-CN"/>
              </w:rPr>
            </w:pPr>
            <w:r>
              <w:rPr>
                <w:rFonts w:hint="eastAsia" w:ascii="??_GB2312" w:hAnsi="??_GB2312" w:cs="??_GB2312"/>
                <w:kern w:val="0"/>
                <w:sz w:val="24"/>
                <w:szCs w:val="24"/>
                <w:lang w:val="en-US" w:eastAsia="zh-CN"/>
              </w:rPr>
              <w:t>6</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基于知识图谱的国内外撑杆跳高研究态势比较分析</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陈辉斌</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7</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“大思政”背景下高职院校社团育人功能发挥现状及提升策略研究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曾孟玲</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8</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自媒体时代大学生媒介素养培养研究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徐晋华</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9</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美术治疗在特殊儿童教育中的价值及应用策略研究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许文鹏</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10</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朗诵艺术“影视化”处理策略研究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郑炎灵子</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11</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数智时代学前教育课程群虚拟教研室的建设研究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薛莲</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12</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主题教育融入新时代大学生党员培养教育过程研究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张育叶</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13</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“岗课赛证”融合育人视域下学前保育学课程改革研究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郭玲玲</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14</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高职学生正念水平与学业倦怠的关系：学业压力和自我效能感的中介作用</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李娟</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15</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“三全育人”视域下的高职院校学生职业精神培养路径研究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何燕娜</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16</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基于福建美育浸润行动的乡村音乐师资培训模式优化路径</w:t>
            </w: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探索</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肖豆豆</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17</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归因理论视域下高职学前教育专业男生舞蹈学习动机与态度的策略研究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李吉祥</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18</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新时代高校共青团实践育人品牌项目创新路径和机制研究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傅缘阳</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19</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“大思政”背景下的艺术教育专业装饰画课程创新研究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林思</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20</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SPOC背景下高校大学语文教学融合中华优秀传统文化研究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张航</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21</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工匠精神融入“三全育人”的建构路径论析</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蔡珊珊</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22</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习近平语言艺术对思政课话语创新的启示</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杨雨菲</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23</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基于高质量发展视阈下高职学前舞蹈新教师成长研究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常娟娟</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24</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“岗课赛证”综合育人模式下“学前特殊儿童早期干预”课程改革实践研究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杜晨阳</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25</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新时代高职院校学生党员培养质量提升的路径研究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王艳如</w:t>
            </w:r>
          </w:p>
        </w:tc>
      </w:tr>
      <w:tr>
        <w:tblPrEx>
          <w:tblCellMar>
            <w:top w:w="0" w:type="dxa"/>
            <w:left w:w="0" w:type="dxa"/>
            <w:bottom w:w="0" w:type="dxa"/>
            <w:right w:w="0" w:type="dxa"/>
          </w:tblCellMar>
        </w:tblPrEx>
        <w:trPr>
          <w:trHeight w:val="721"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黑体" w:hAnsi="黑体" w:eastAsia="黑体" w:cs="黑体"/>
                <w:color w:val="000000"/>
                <w:kern w:val="0"/>
                <w:sz w:val="24"/>
                <w:szCs w:val="24"/>
                <w:lang w:val="en-US" w:eastAsia="zh-CN"/>
              </w:rPr>
              <w:t>习近平总书记关于教育重要论述研究专项</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26</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数字时代高校精准思政实现路径研究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张丹凤</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_GB2312" w:hAnsi="??_GB2312" w:cs="??_GB2312"/>
                <w:kern w:val="0"/>
                <w:sz w:val="24"/>
                <w:szCs w:val="24"/>
                <w:lang w:val="en-US" w:eastAsia="zh-CN"/>
              </w:rPr>
            </w:pPr>
            <w:r>
              <w:rPr>
                <w:rFonts w:hint="eastAsia" w:ascii="??_GB2312" w:hAnsi="??_GB2312" w:cs="??_GB2312"/>
                <w:kern w:val="0"/>
                <w:sz w:val="24"/>
                <w:szCs w:val="24"/>
                <w:lang w:val="en-US" w:eastAsia="zh-CN"/>
              </w:rPr>
              <w:t>27</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习近平劳动观融入高职院校劳动教育研究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方春兰</w:t>
            </w:r>
          </w:p>
        </w:tc>
      </w:tr>
      <w:tr>
        <w:tblPrEx>
          <w:tblCellMar>
            <w:top w:w="0" w:type="dxa"/>
            <w:left w:w="0" w:type="dxa"/>
            <w:bottom w:w="0" w:type="dxa"/>
            <w:right w:w="0" w:type="dxa"/>
          </w:tblCellMar>
        </w:tblPrEx>
        <w:trPr>
          <w:trHeight w:val="721"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黑体" w:hAnsi="黑体" w:eastAsia="黑体" w:cs="黑体"/>
                <w:color w:val="000000"/>
                <w:kern w:val="0"/>
                <w:sz w:val="24"/>
                <w:szCs w:val="24"/>
                <w:lang w:val="en-US" w:eastAsia="zh-CN"/>
              </w:rPr>
              <w:t>党的二十大精神研究专项</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cs="??_GB2312"/>
                <w:kern w:val="0"/>
                <w:sz w:val="24"/>
                <w:szCs w:val="24"/>
                <w:lang w:val="en-US" w:eastAsia="zh-CN"/>
              </w:rPr>
            </w:pPr>
            <w:r>
              <w:rPr>
                <w:rFonts w:hint="eastAsia" w:ascii="??_GB2312" w:hAnsi="??_GB2312" w:cs="??_GB2312"/>
                <w:kern w:val="0"/>
                <w:sz w:val="24"/>
                <w:szCs w:val="24"/>
                <w:lang w:val="en-US" w:eastAsia="zh-CN"/>
              </w:rPr>
              <w:t>28</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“两个结合”视域下“福文化”融入高校思政课教学研究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郑丽萍</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cs="??_GB2312"/>
                <w:kern w:val="0"/>
                <w:sz w:val="24"/>
                <w:szCs w:val="24"/>
                <w:lang w:val="en-US" w:eastAsia="zh-CN"/>
              </w:rPr>
            </w:pPr>
            <w:r>
              <w:rPr>
                <w:rFonts w:hint="eastAsia" w:ascii="??_GB2312" w:hAnsi="??_GB2312" w:cs="??_GB2312"/>
                <w:kern w:val="0"/>
                <w:sz w:val="24"/>
                <w:szCs w:val="24"/>
                <w:lang w:val="en-US" w:eastAsia="zh-CN"/>
              </w:rPr>
              <w:t>29</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千年侯官文化在福州高校传承光大的价值与路径研究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陈忠辉</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cs="??_GB2312"/>
                <w:kern w:val="0"/>
                <w:sz w:val="24"/>
                <w:szCs w:val="24"/>
                <w:lang w:val="en-US" w:eastAsia="zh-CN"/>
              </w:rPr>
            </w:pPr>
            <w:r>
              <w:rPr>
                <w:rFonts w:hint="eastAsia" w:ascii="??_GB2312" w:hAnsi="??_GB2312" w:cs="??_GB2312"/>
                <w:kern w:val="0"/>
                <w:sz w:val="24"/>
                <w:szCs w:val="24"/>
                <w:lang w:val="en-US" w:eastAsia="zh-CN"/>
              </w:rPr>
              <w:t>30</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高职院校思政课讲好中国文物故事研究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一般项目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高雯婷</w:t>
            </w:r>
          </w:p>
        </w:tc>
      </w:tr>
      <w:tr>
        <w:tblPrEx>
          <w:tblCellMar>
            <w:top w:w="0" w:type="dxa"/>
            <w:left w:w="0" w:type="dxa"/>
            <w:bottom w:w="0" w:type="dxa"/>
            <w:right w:w="0" w:type="dxa"/>
          </w:tblCellMar>
        </w:tblPrEx>
        <w:trPr>
          <w:trHeight w:val="721"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黑体" w:hAnsi="黑体" w:eastAsia="黑体" w:cs="黑体"/>
                <w:color w:val="000000"/>
                <w:kern w:val="0"/>
                <w:sz w:val="24"/>
                <w:szCs w:val="24"/>
                <w:lang w:val="en-US" w:eastAsia="zh-CN"/>
              </w:rPr>
              <w:t>教学创新团队建设研究专项</w:t>
            </w:r>
          </w:p>
        </w:tc>
      </w:tr>
      <w:tr>
        <w:tblPrEx>
          <w:tblCellMar>
            <w:top w:w="0" w:type="dxa"/>
            <w:left w:w="0" w:type="dxa"/>
            <w:bottom w:w="0" w:type="dxa"/>
            <w:right w:w="0" w:type="dxa"/>
          </w:tblCellMar>
        </w:tblPrEx>
        <w:trPr>
          <w:trHeight w:val="721" w:hRule="atLeast"/>
          <w:jc w:val="center"/>
        </w:trPr>
        <w:tc>
          <w:tcPr>
            <w:tcW w:w="36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_GB2312" w:hAnsi="??_GB2312" w:cs="??_GB2312"/>
                <w:kern w:val="0"/>
                <w:sz w:val="24"/>
                <w:szCs w:val="24"/>
                <w:lang w:val="en-US" w:eastAsia="zh-CN"/>
              </w:rPr>
            </w:pPr>
            <w:r>
              <w:rPr>
                <w:rFonts w:hint="eastAsia" w:ascii="??_GB2312" w:hAnsi="??_GB2312" w:cs="??_GB2312"/>
                <w:kern w:val="0"/>
                <w:sz w:val="24"/>
                <w:szCs w:val="24"/>
                <w:lang w:val="en-US" w:eastAsia="zh-CN"/>
              </w:rPr>
              <w:t>31</w:t>
            </w:r>
          </w:p>
        </w:tc>
        <w:tc>
          <w:tcPr>
            <w:tcW w:w="3219"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学前教育专业国家级职业教育教师教学创新团队建设范式</w:t>
            </w: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研究</w:t>
            </w:r>
          </w:p>
        </w:tc>
        <w:tc>
          <w:tcPr>
            <w:tcW w:w="707"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重点项目</w:t>
            </w:r>
          </w:p>
        </w:tc>
        <w:tc>
          <w:tcPr>
            <w:tcW w:w="708"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肖英娥</w:t>
            </w:r>
          </w:p>
        </w:tc>
      </w:tr>
    </w:tbl>
    <w:p>
      <w:pPr>
        <w:pStyle w:val="2"/>
        <w:rPr>
          <w:rStyle w:val="6"/>
          <w:rFonts w:hint="eastAsia" w:ascii="微软雅黑" w:hAnsi="微软雅黑" w:eastAsia="微软雅黑" w:cs="微软雅黑"/>
          <w:i w:val="0"/>
          <w:iCs w:val="0"/>
          <w:caps w:val="0"/>
          <w:color w:val="444444"/>
          <w:spacing w:val="0"/>
          <w:sz w:val="24"/>
          <w:szCs w:val="24"/>
          <w:shd w:val="clear" w:fill="FFFFFF"/>
        </w:rPr>
      </w:pPr>
    </w:p>
    <w:p>
      <w:pPr>
        <w:pStyle w:val="2"/>
        <w:rPr>
          <w:rStyle w:val="6"/>
          <w:rFonts w:hint="eastAsia" w:ascii="微软雅黑" w:hAnsi="微软雅黑" w:eastAsia="微软雅黑" w:cs="微软雅黑"/>
          <w:i w:val="0"/>
          <w:iCs w:val="0"/>
          <w:caps w:val="0"/>
          <w:color w:val="444444"/>
          <w:spacing w:val="0"/>
          <w:sz w:val="24"/>
          <w:szCs w:val="24"/>
          <w:shd w:val="clear" w:fill="FFFFFF"/>
        </w:rPr>
      </w:pPr>
    </w:p>
    <w:p>
      <w:pPr>
        <w:pStyle w:val="2"/>
        <w:rPr>
          <w:rStyle w:val="6"/>
          <w:rFonts w:hint="eastAsia" w:ascii="微软雅黑" w:hAnsi="微软雅黑" w:eastAsia="微软雅黑" w:cs="微软雅黑"/>
          <w:i w:val="0"/>
          <w:iCs w:val="0"/>
          <w:caps w:val="0"/>
          <w:color w:val="444444"/>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CB31B43"/>
    <w:rsid w:val="01323CE1"/>
    <w:rsid w:val="11F1761D"/>
    <w:rsid w:val="170D201A"/>
    <w:rsid w:val="1A2677A8"/>
    <w:rsid w:val="1CE56F3E"/>
    <w:rsid w:val="27E86D24"/>
    <w:rsid w:val="28221B0A"/>
    <w:rsid w:val="2976035F"/>
    <w:rsid w:val="2ACF2217"/>
    <w:rsid w:val="2ADE61BC"/>
    <w:rsid w:val="2CB31B43"/>
    <w:rsid w:val="2D023258"/>
    <w:rsid w:val="2DDB4C35"/>
    <w:rsid w:val="2EBA6F40"/>
    <w:rsid w:val="31FB3AF8"/>
    <w:rsid w:val="326571C3"/>
    <w:rsid w:val="3C3C7B42"/>
    <w:rsid w:val="3FCC0881"/>
    <w:rsid w:val="45444CD8"/>
    <w:rsid w:val="49D2118A"/>
    <w:rsid w:val="558931D2"/>
    <w:rsid w:val="56A21885"/>
    <w:rsid w:val="58692CBA"/>
    <w:rsid w:val="5DEA6552"/>
    <w:rsid w:val="5EF64B7B"/>
    <w:rsid w:val="607D37A6"/>
    <w:rsid w:val="673E5DAC"/>
    <w:rsid w:val="759C2B41"/>
    <w:rsid w:val="781520BE"/>
    <w:rsid w:val="78686692"/>
    <w:rsid w:val="7DFA4230"/>
    <w:rsid w:val="7EB9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character" w:styleId="6">
    <w:name w:val="Strong"/>
    <w:basedOn w:val="5"/>
    <w:qFormat/>
    <w:uiPriority w:val="0"/>
    <w:rPr>
      <w:b/>
    </w:rPr>
  </w:style>
  <w:style w:type="character" w:customStyle="1" w:styleId="7">
    <w:name w:val="font11"/>
    <w:basedOn w:val="5"/>
    <w:qFormat/>
    <w:uiPriority w:val="0"/>
    <w:rPr>
      <w:rFonts w:ascii="Calibri" w:hAnsi="Calibri" w:cs="Calibri"/>
      <w:color w:val="000000"/>
      <w:sz w:val="21"/>
      <w:szCs w:val="21"/>
      <w:u w:val="none"/>
    </w:rPr>
  </w:style>
  <w:style w:type="character" w:customStyle="1" w:styleId="8">
    <w:name w:val="font3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856</Words>
  <Characters>897</Characters>
  <Lines>0</Lines>
  <Paragraphs>0</Paragraphs>
  <TotalTime>25</TotalTime>
  <ScaleCrop>false</ScaleCrop>
  <LinksUpToDate>false</LinksUpToDate>
  <CharactersWithSpaces>897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2021-11-11T00:44:00Z</dcterms:created>
  <dc:creator>cinderella</dc:creator>
  <cp:lastModifiedBy>流量卡</cp:lastModifiedBy>
  <dcterms:modified xsi:type="dcterms:W3CDTF">2023-10-18T14:32:48Z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1526A2E9E4AF477AB21D1B35B766E239</vt:lpwstr>
  </property>
</Properties>
</file>